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64" w:tblpY="124"/>
        <w:tblOverlap w:val="never"/>
        <w:tblW w:w="78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30"/>
        <w:gridCol w:w="1387"/>
        <w:gridCol w:w="1865"/>
        <w:gridCol w:w="4537"/>
        <w:gridCol w:w="21"/>
      </w:tblGrid>
      <w:tr w:rsidR="00B75654" w:rsidTr="00C0445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0"/>
        </w:trPr>
        <w:tc>
          <w:tcPr>
            <w:tcW w:w="7819" w:type="dxa"/>
            <w:gridSpan w:val="4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none" w:sz="255" w:space="31" w:color="0100FE" w:shadow="1"/>
            </w:tcBorders>
            <w:vAlign w:val="center"/>
          </w:tcPr>
          <w:p w:rsidR="00B75654" w:rsidRDefault="00B75654" w:rsidP="00C0445D">
            <w:pPr>
              <w:rPr>
                <w:rStyle w:val="NormalCharacter"/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附件2：</w:t>
            </w:r>
          </w:p>
          <w:p w:rsidR="00B75654" w:rsidRDefault="00B75654" w:rsidP="00C0445D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2018年自治区中小学和幼儿园教师招聘考试专业参考目录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科目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专业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语文类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限小学段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 xml:space="preserve">）、学科教学（语文）、语文教育、中文教育、初等教育（文科方向）、对外汉语、初等教育（双语师资）、新闻学、编辑出版学、广播电视新闻学、广播电视学、戏剧影视文学、文学、中国文学、文秘、秘书学专业。  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2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英语类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</w:t>
            </w:r>
            <w:proofErr w:type="gramStart"/>
            <w:r>
              <w:rPr>
                <w:rStyle w:val="NormalCharacter"/>
              </w:rPr>
              <w:t>限小学段</w:t>
            </w:r>
            <w:proofErr w:type="gramEnd"/>
            <w:r>
              <w:rPr>
                <w:rStyle w:val="NormalCharacter"/>
              </w:rPr>
              <w:t>）、初等教育（英语方向）专业。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3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数学类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限小学段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)、初等教育(数学方向、理科方向)、初等教育（双语师资）、应用数学、计算数学、基础数学、概率论与数理统计、运筹学与控制论、统计学、经济统计学、应用统计学专业。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4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政治类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含党的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哲</w:t>
            </w:r>
            <w:proofErr w:type="gramEnd"/>
          </w:p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学、科学社会主义与国际共产主义运动、中国革命史与中国共产党党史、马克思主义发展史、国外马克思主义研究、马克思主义理论与思想政治教育、教育学、法学专业。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lastRenderedPageBreak/>
              <w:t>5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物理类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化学类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生物类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地理类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历史类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11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美术类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动漫设计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与制作、动画、动画设计、电脑艺术设计、人物形象设计专业。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lastRenderedPageBreak/>
              <w:t>12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音乐类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13</w:t>
            </w:r>
          </w:p>
        </w:tc>
        <w:tc>
          <w:tcPr>
            <w:tcW w:w="1389" w:type="dxa"/>
            <w:tcBorders>
              <w:top w:val="none" w:sz="255" w:space="31" w:color="0100FE" w:shadow="1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体育类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专业。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0" w:type="dxa"/>
            <w:tcBorders>
              <w:top w:val="none" w:sz="255" w:space="31" w:color="0100FE" w:shadow="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计算机类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、计算机音乐制作、软件测试技术、物联网工程、数字媒体技术、计算机软件与理论、计算机系统结构等相关专业。图形图像制作、计算机网络与安全管理、网站规划与开发技术、游戏软件、数据通信与网络系统、航空计算机技术与应用、软件开发与项目管理、三维动画设计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心理健康类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one" w:sz="255" w:space="31" w:color="0100FE" w:shadow="1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教育学、心理健康教育、心理学、应用心理学、心理咨询、心理咨询与心理健康教育、心理咨询学、基础心理学、教育心理学、心理咨询与教育、发展与教育心理学专业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16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学前教育类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tabs>
                <w:tab w:val="center" w:leader="dot" w:pos="2323"/>
              </w:tabs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中专学历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tabs>
                <w:tab w:val="center" w:leader="dot" w:pos="2323"/>
              </w:tabs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学前教育、幼儿教育、幼师专业</w:t>
            </w:r>
          </w:p>
        </w:tc>
      </w:tr>
      <w:tr w:rsidR="00B75654" w:rsidTr="00C0445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师范类小学教育、音乐、体育、美术教育，</w:t>
            </w:r>
          </w:p>
          <w:p w:rsidR="00B75654" w:rsidRDefault="00B75654" w:rsidP="00C0445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数学教育、初等教育</w:t>
            </w:r>
          </w:p>
        </w:tc>
      </w:tr>
    </w:tbl>
    <w:p w:rsidR="00B75654" w:rsidRDefault="00B75654" w:rsidP="00B75654">
      <w:pPr>
        <w:jc w:val="center"/>
        <w:rPr>
          <w:rStyle w:val="NormalCharacter"/>
          <w:rFonts w:ascii="宋体" w:hAnsi="宋体"/>
          <w:kern w:val="0"/>
          <w:sz w:val="22"/>
        </w:rPr>
      </w:pPr>
    </w:p>
    <w:p w:rsidR="006867C6" w:rsidRDefault="006867C6"/>
    <w:sectPr w:rsidR="006867C6" w:rsidSect="0068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C9" w:rsidRDefault="00693CC9" w:rsidP="00B75654">
      <w:r>
        <w:separator/>
      </w:r>
    </w:p>
  </w:endnote>
  <w:endnote w:type="continuationSeparator" w:id="0">
    <w:p w:rsidR="00693CC9" w:rsidRDefault="00693CC9" w:rsidP="00B7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C9" w:rsidRDefault="00693CC9" w:rsidP="00B75654">
      <w:r>
        <w:separator/>
      </w:r>
    </w:p>
  </w:footnote>
  <w:footnote w:type="continuationSeparator" w:id="0">
    <w:p w:rsidR="00693CC9" w:rsidRDefault="00693CC9" w:rsidP="00B75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654"/>
    <w:rsid w:val="006867C6"/>
    <w:rsid w:val="00693CC9"/>
    <w:rsid w:val="00B7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654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6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65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654"/>
    <w:rPr>
      <w:sz w:val="18"/>
      <w:szCs w:val="18"/>
    </w:rPr>
  </w:style>
  <w:style w:type="character" w:customStyle="1" w:styleId="NormalCharacter">
    <w:name w:val="NormalCharacter"/>
    <w:rsid w:val="00B75654"/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1288</Characters>
  <Application>Microsoft Office Word</Application>
  <DocSecurity>0</DocSecurity>
  <Lines>75</Lines>
  <Paragraphs>81</Paragraphs>
  <ScaleCrop>false</ScaleCrop>
  <Company>微软中国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2019-06-12T10:39:00Z</dcterms:created>
  <dcterms:modified xsi:type="dcterms:W3CDTF">2019-06-12T10:40:00Z</dcterms:modified>
</cp:coreProperties>
</file>